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76" w:rsidRPr="0072114B" w:rsidRDefault="00231B21" w:rsidP="001A3D76">
      <w:pPr>
        <w:ind w:left="720"/>
        <w:jc w:val="both"/>
        <w:rPr>
          <w:b/>
          <w:sz w:val="36"/>
          <w:szCs w:val="36"/>
        </w:rPr>
      </w:pPr>
      <w:bookmarkStart w:id="0" w:name="_GoBack"/>
      <w:bookmarkEnd w:id="0"/>
      <w:r w:rsidRPr="0072114B">
        <w:rPr>
          <w:b/>
          <w:sz w:val="36"/>
          <w:szCs w:val="36"/>
        </w:rPr>
        <w:t>Stížnost</w:t>
      </w:r>
      <w:r w:rsidR="002B2B40" w:rsidRPr="0072114B">
        <w:rPr>
          <w:b/>
          <w:sz w:val="36"/>
          <w:szCs w:val="36"/>
        </w:rPr>
        <w:t xml:space="preserve"> </w:t>
      </w:r>
    </w:p>
    <w:p w:rsidR="0072114B" w:rsidRPr="0072114B" w:rsidRDefault="0072114B" w:rsidP="001A3D76">
      <w:pPr>
        <w:ind w:left="720"/>
        <w:jc w:val="both"/>
        <w:rPr>
          <w:b/>
        </w:rPr>
      </w:pPr>
    </w:p>
    <w:p w:rsidR="00231B21" w:rsidRPr="0072114B" w:rsidRDefault="00231B21" w:rsidP="0072114B">
      <w:pPr>
        <w:ind w:left="720"/>
        <w:jc w:val="both"/>
        <w:rPr>
          <w:rStyle w:val="Siln"/>
          <w:b w:val="0"/>
          <w:bCs w:val="0"/>
        </w:rPr>
      </w:pPr>
      <w:r w:rsidRPr="0072114B">
        <w:rPr>
          <w:rStyle w:val="Siln"/>
        </w:rPr>
        <w:t xml:space="preserve">Základní informace k životní situaci </w:t>
      </w:r>
    </w:p>
    <w:p w:rsidR="00037E7E" w:rsidRPr="0072114B" w:rsidRDefault="00622DE1" w:rsidP="00622DE1">
      <w:pPr>
        <w:ind w:left="720"/>
        <w:jc w:val="both"/>
      </w:pPr>
      <w:r w:rsidRPr="0072114B">
        <w:rPr>
          <w:rStyle w:val="Siln"/>
          <w:b w:val="0"/>
        </w:rPr>
        <w:t>Na OSPOD</w:t>
      </w:r>
      <w:r w:rsidR="00A10F6F" w:rsidRPr="0072114B">
        <w:rPr>
          <w:rStyle w:val="Siln"/>
          <w:b w:val="0"/>
        </w:rPr>
        <w:t xml:space="preserve"> (orgán sociálně právní ochrany dětí)</w:t>
      </w:r>
      <w:r w:rsidRPr="0072114B">
        <w:rPr>
          <w:rStyle w:val="Siln"/>
          <w:b w:val="0"/>
        </w:rPr>
        <w:t xml:space="preserve"> se obracejí klienti s širokým okruhem problémů, podnětů a žádostí při řešení konkrétních situací. Pracovníci se snaží předcházet</w:t>
      </w:r>
      <w:r w:rsidRPr="0072114B">
        <w:t xml:space="preserve"> nedorozumění, k nimž může v oblasti sociální práce docházet a při své práci respektují právní předpisy ČR, obecná morální pravidla společnosti a stejně tak i Etický kodex sociálních pracovníků. </w:t>
      </w:r>
      <w:r w:rsidR="00A40FFC" w:rsidRPr="0072114B">
        <w:t>Pracovníci OSPOD disponují celou řadou oprávnění a možností, které směřují k ochraně oprávněných zájmů a práv nezletilých dětí. Nezřídka se tedy stává, že zájem dětí je v protikladu se zájmem rodičů</w:t>
      </w:r>
      <w:r w:rsidR="00A10F6F" w:rsidRPr="0072114B">
        <w:t xml:space="preserve"> </w:t>
      </w:r>
      <w:r w:rsidR="00A40FFC" w:rsidRPr="0072114B">
        <w:t>a řešení situace není pro rodiče osobně příznivé. Takovouto situaci však není možné řešit stížností. Vychází totiž ze zákonných úkolů orgánu veřejné mo</w:t>
      </w:r>
      <w:r w:rsidR="00037E7E" w:rsidRPr="0072114B">
        <w:t>ci, tedy OSPOD, který sestává ze sociálních pracovníků – odborníků na oblast práce s dětmi a mládeží, kdy se tito pracovníci snaží profesionálně a fundovaně pomoci problematickým situacím v rodinách a kdy zájem dítěte je ze zákona upřednostněn před zájmem rodičů.</w:t>
      </w:r>
    </w:p>
    <w:p w:rsidR="00037E7E" w:rsidRPr="0072114B" w:rsidRDefault="00037E7E" w:rsidP="00622DE1">
      <w:pPr>
        <w:ind w:left="720"/>
        <w:jc w:val="both"/>
      </w:pPr>
    </w:p>
    <w:p w:rsidR="00037E7E" w:rsidRPr="0072114B" w:rsidRDefault="00037E7E" w:rsidP="00037E7E">
      <w:pPr>
        <w:ind w:left="720"/>
        <w:jc w:val="both"/>
      </w:pPr>
      <w:r w:rsidRPr="0072114B">
        <w:t xml:space="preserve"> V </w:t>
      </w:r>
      <w:r w:rsidRPr="0072114B">
        <w:rPr>
          <w:b/>
        </w:rPr>
        <w:t>zájmu dítěte</w:t>
      </w:r>
      <w:r w:rsidRPr="0072114B">
        <w:t xml:space="preserve"> je zejména právo dítěte na příznivý vývoj a řádnou výchovu, ochrana oprávněných zájmů dítěte, včetně ochrany jeho jmění, působení směřující k obnovení narušených funkcí rodiny, zabezpečení náhradního rodinného prostředí pro dítě, které nemůže být trvale nebo dočasně vychováváno ve vlastní rodině.</w:t>
      </w:r>
    </w:p>
    <w:p w:rsidR="00037E7E" w:rsidRPr="0072114B" w:rsidRDefault="00037E7E" w:rsidP="00622DE1">
      <w:pPr>
        <w:ind w:left="720"/>
        <w:jc w:val="both"/>
      </w:pPr>
    </w:p>
    <w:p w:rsidR="00622DE1" w:rsidRPr="0072114B" w:rsidRDefault="00622DE1" w:rsidP="00622DE1">
      <w:pPr>
        <w:ind w:left="720"/>
        <w:jc w:val="both"/>
      </w:pPr>
      <w:r w:rsidRPr="0072114B">
        <w:t>Pokud přesto nepostačí vzájemné vysvětlení připomínek</w:t>
      </w:r>
      <w:r w:rsidR="00037E7E" w:rsidRPr="0072114B">
        <w:t xml:space="preserve"> při osobním jednání</w:t>
      </w:r>
      <w:r w:rsidR="008B6E97" w:rsidRPr="0072114B">
        <w:t>,</w:t>
      </w:r>
      <w:r w:rsidRPr="0072114B">
        <w:t xml:space="preserve"> nebo se prokáží zákonné důvody, pro které není možné, aby konkrétní pracovník</w:t>
      </w:r>
      <w:r w:rsidR="00861625" w:rsidRPr="0072114B">
        <w:t xml:space="preserve"> nadále případ vedl, může klient využít podání stížnosti nebo námitky podjatosti.</w:t>
      </w:r>
    </w:p>
    <w:p w:rsidR="00622DE1" w:rsidRPr="0072114B" w:rsidRDefault="00622DE1" w:rsidP="00622DE1">
      <w:pPr>
        <w:ind w:left="720"/>
        <w:jc w:val="both"/>
      </w:pPr>
    </w:p>
    <w:p w:rsidR="001A3D76" w:rsidRPr="0072114B" w:rsidRDefault="001A3D76" w:rsidP="000672F6">
      <w:pPr>
        <w:pStyle w:val="Normlnweb"/>
        <w:spacing w:before="0" w:beforeAutospacing="0" w:after="0" w:afterAutospacing="0"/>
        <w:ind w:left="720"/>
        <w:jc w:val="both"/>
        <w:rPr>
          <w:b/>
        </w:rPr>
      </w:pPr>
      <w:r w:rsidRPr="0072114B">
        <w:rPr>
          <w:b/>
        </w:rPr>
        <w:t>Pojem stížnost</w:t>
      </w:r>
    </w:p>
    <w:p w:rsidR="002B2B40" w:rsidRPr="0072114B" w:rsidRDefault="002B2B40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Pro </w:t>
      </w:r>
      <w:r w:rsidRPr="0072114B">
        <w:rPr>
          <w:b/>
        </w:rPr>
        <w:t>posouzení</w:t>
      </w:r>
      <w:r w:rsidRPr="0072114B">
        <w:t xml:space="preserve">, zda se jedná o stížnost, je rozhodující obsah podání, nikoliv jeho označení osobou, která podání učinila. </w:t>
      </w:r>
    </w:p>
    <w:p w:rsidR="002B2B40" w:rsidRPr="0072114B" w:rsidRDefault="00231B21" w:rsidP="002B2B40">
      <w:pPr>
        <w:pStyle w:val="Normlnweb"/>
        <w:spacing w:before="0" w:beforeAutospacing="0" w:after="0" w:afterAutospacing="0"/>
        <w:ind w:left="720"/>
        <w:jc w:val="both"/>
      </w:pPr>
      <w:r w:rsidRPr="0072114B">
        <w:rPr>
          <w:b/>
        </w:rPr>
        <w:t>Stížnost je</w:t>
      </w:r>
      <w:r w:rsidRPr="0072114B">
        <w:t xml:space="preserve"> podání, jež vyjadřuje určitý projev nespokojenosti s něčím nebo s někým a týká se zejména osobních</w:t>
      </w:r>
      <w:r w:rsidR="000672F6" w:rsidRPr="0072114B">
        <w:t xml:space="preserve"> zájmů osoby, která je učinila.</w:t>
      </w:r>
      <w:r w:rsidR="002B2B40" w:rsidRPr="0072114B">
        <w:t xml:space="preserve"> </w:t>
      </w:r>
    </w:p>
    <w:p w:rsidR="008B6E97" w:rsidRPr="0072114B" w:rsidRDefault="002B2B40" w:rsidP="002B2B40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Za stížnost </w:t>
      </w:r>
      <w:r w:rsidRPr="0072114B">
        <w:rPr>
          <w:b/>
        </w:rPr>
        <w:t>se nepovažují</w:t>
      </w:r>
      <w:r w:rsidRPr="0072114B">
        <w:t xml:space="preserve"> zejména návrhy na zahájení řízení, řádné či mimořádné prostředky, námitky proti jednotlivým úkonům a opatřením spojeným s výkonem rozhodnutí podle zvláštních předpisů, podněty v rámci ochrany před nečinností, podněty k provedení dozoru nebo kontroly. </w:t>
      </w:r>
    </w:p>
    <w:p w:rsidR="008B6E97" w:rsidRPr="0072114B" w:rsidRDefault="008B6E97" w:rsidP="002B2B40">
      <w:pPr>
        <w:pStyle w:val="Normlnweb"/>
        <w:spacing w:before="0" w:beforeAutospacing="0" w:after="0" w:afterAutospacing="0"/>
        <w:ind w:left="720"/>
        <w:jc w:val="both"/>
      </w:pPr>
    </w:p>
    <w:p w:rsidR="002B2B40" w:rsidRPr="0072114B" w:rsidRDefault="002B2B40" w:rsidP="002B2B40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Stížnost podaná ve prospěch (či neprospěch) jiného je oznámením, stížnost sledující širší společenský zájem je podnětem. </w:t>
      </w:r>
    </w:p>
    <w:p w:rsidR="008B6E97" w:rsidRPr="0072114B" w:rsidRDefault="008B6E97" w:rsidP="002B2B40">
      <w:pPr>
        <w:pStyle w:val="Normlnweb"/>
        <w:spacing w:before="0" w:beforeAutospacing="0" w:after="0" w:afterAutospacing="0"/>
        <w:ind w:left="720"/>
        <w:jc w:val="both"/>
      </w:pPr>
    </w:p>
    <w:p w:rsidR="001A6699" w:rsidRPr="0072114B" w:rsidRDefault="001A6699" w:rsidP="002B2B40">
      <w:pPr>
        <w:pStyle w:val="Normlnweb"/>
        <w:spacing w:before="0" w:beforeAutospacing="0" w:after="0" w:afterAutospacing="0"/>
        <w:ind w:left="720"/>
        <w:jc w:val="both"/>
      </w:pPr>
      <w:r w:rsidRPr="0072114B">
        <w:t>Anonymní stížnost neobsahuje označení stěžovatele, který by se dal identifikovat pro odeslání odpovědi, nicméně správní orgán prošetří v rámci možností i takové podání standardním způsobem.</w:t>
      </w:r>
    </w:p>
    <w:p w:rsidR="008B6E97" w:rsidRPr="0072114B" w:rsidRDefault="008B6E97" w:rsidP="002B2B40">
      <w:pPr>
        <w:pStyle w:val="Normlnweb"/>
        <w:spacing w:before="0" w:beforeAutospacing="0" w:after="0" w:afterAutospacing="0"/>
        <w:ind w:left="720"/>
        <w:jc w:val="both"/>
      </w:pPr>
    </w:p>
    <w:p w:rsidR="0007030E" w:rsidRPr="0072114B" w:rsidRDefault="0007030E" w:rsidP="002B2B40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Podání, která mají charakter stížnosti, avšak obsahují </w:t>
      </w:r>
      <w:r w:rsidRPr="0072114B">
        <w:rPr>
          <w:b/>
        </w:rPr>
        <w:t>tytéž informace a vyjádření</w:t>
      </w:r>
      <w:r w:rsidRPr="0072114B">
        <w:t>, které jsou již jednou v řešení správního orgánu jako stížnost, se nepovažují za stížnost, nýbrž pouze za podnět, resp. doplnění prvotní stížnosti a správní orgán na ně jednotlivě již neodpovídá</w:t>
      </w:r>
      <w:r w:rsidR="00374214" w:rsidRPr="0072114B">
        <w:t xml:space="preserve">, pouze je </w:t>
      </w:r>
      <w:r w:rsidR="00182EF3" w:rsidRPr="0072114B">
        <w:t xml:space="preserve">vezme na vědomí a </w:t>
      </w:r>
      <w:r w:rsidR="00374214" w:rsidRPr="0072114B">
        <w:t>založí do spisu k prvotní stížnosti.</w:t>
      </w:r>
    </w:p>
    <w:p w:rsidR="00D001DC" w:rsidRPr="0072114B" w:rsidRDefault="00D001DC" w:rsidP="00A10F6F">
      <w:pPr>
        <w:pStyle w:val="Normlnweb"/>
        <w:spacing w:before="0" w:beforeAutospacing="0" w:after="0" w:afterAutospacing="0"/>
        <w:jc w:val="both"/>
        <w:rPr>
          <w:b/>
        </w:rPr>
      </w:pPr>
    </w:p>
    <w:p w:rsidR="002B2B40" w:rsidRPr="0072114B" w:rsidRDefault="00D001DC" w:rsidP="00A10F6F">
      <w:pPr>
        <w:pStyle w:val="Normlnweb"/>
        <w:spacing w:before="0" w:beforeAutospacing="0" w:after="0" w:afterAutospacing="0"/>
        <w:jc w:val="both"/>
        <w:rPr>
          <w:b/>
          <w:u w:val="single"/>
        </w:rPr>
      </w:pPr>
      <w:r w:rsidRPr="0072114B">
        <w:rPr>
          <w:b/>
        </w:rPr>
        <w:t xml:space="preserve">       </w:t>
      </w:r>
      <w:r w:rsidR="00A10F6F" w:rsidRPr="0072114B">
        <w:rPr>
          <w:b/>
        </w:rPr>
        <w:t xml:space="preserve">   </w:t>
      </w:r>
      <w:r w:rsidR="001A3D76" w:rsidRPr="0072114B">
        <w:rPr>
          <w:b/>
          <w:u w:val="single"/>
        </w:rPr>
        <w:t>Oblast stížnosti</w:t>
      </w:r>
    </w:p>
    <w:p w:rsidR="002B2B40" w:rsidRPr="0072114B" w:rsidRDefault="001A3D76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Postup</w:t>
      </w:r>
      <w:r w:rsidR="000672F6" w:rsidRPr="0072114B">
        <w:t xml:space="preserve"> OSPOD, </w:t>
      </w:r>
      <w:r w:rsidRPr="0072114B">
        <w:t>který</w:t>
      </w:r>
      <w:r w:rsidR="000672F6" w:rsidRPr="0072114B">
        <w:t xml:space="preserve"> stěž</w:t>
      </w:r>
      <w:r w:rsidRPr="0072114B">
        <w:t>ovatel vyhodnocuje jako nevhodný</w:t>
      </w:r>
      <w:r w:rsidR="000672F6" w:rsidRPr="0072114B">
        <w:t>. Stěžovatel si může také stěžovat na chování konkrétního pracovníka OSPOD</w:t>
      </w:r>
      <w:r w:rsidRPr="0072114B">
        <w:t>, které není v souladu s</w:t>
      </w:r>
      <w:r w:rsidR="00D001DC" w:rsidRPr="0072114B">
        <w:t> </w:t>
      </w:r>
      <w:proofErr w:type="gramStart"/>
      <w:r w:rsidRPr="0072114B">
        <w:t>dobrými</w:t>
      </w:r>
      <w:r w:rsidR="00D001DC" w:rsidRPr="0072114B">
        <w:t xml:space="preserve"> </w:t>
      </w:r>
      <w:r w:rsidRPr="0072114B">
        <w:t xml:space="preserve"> mravy</w:t>
      </w:r>
      <w:proofErr w:type="gramEnd"/>
      <w:r w:rsidRPr="0072114B">
        <w:t xml:space="preserve"> </w:t>
      </w:r>
      <w:r w:rsidR="00F943B9" w:rsidRPr="0072114B">
        <w:t xml:space="preserve"> </w:t>
      </w:r>
      <w:r w:rsidRPr="0072114B">
        <w:t>a standardy veřejné správy. Stěžovatel může také vyhodnotit, že byly porušeny standardy kvality SPO, může se cítit omezen na svých subjektivních právech a zájmech</w:t>
      </w:r>
      <w:r w:rsidR="00861625" w:rsidRPr="0072114B">
        <w:t>.</w:t>
      </w:r>
    </w:p>
    <w:p w:rsidR="00861625" w:rsidRPr="0072114B" w:rsidRDefault="00861625" w:rsidP="000672F6">
      <w:pPr>
        <w:pStyle w:val="Normlnweb"/>
        <w:spacing w:before="0" w:beforeAutospacing="0" w:after="0" w:afterAutospacing="0"/>
        <w:ind w:left="720"/>
        <w:jc w:val="both"/>
      </w:pPr>
    </w:p>
    <w:p w:rsidR="00861625" w:rsidRPr="0072114B" w:rsidRDefault="00861625" w:rsidP="00861625">
      <w:pPr>
        <w:pStyle w:val="Normlnweb"/>
        <w:spacing w:before="0" w:beforeAutospacing="0" w:after="0" w:afterAutospacing="0"/>
        <w:ind w:left="720"/>
        <w:jc w:val="both"/>
        <w:rPr>
          <w:b/>
        </w:rPr>
      </w:pPr>
      <w:r w:rsidRPr="0072114B">
        <w:rPr>
          <w:b/>
        </w:rPr>
        <w:t xml:space="preserve">Podjatost </w:t>
      </w:r>
    </w:p>
    <w:p w:rsidR="00861625" w:rsidRPr="0072114B" w:rsidRDefault="00861625" w:rsidP="00861625">
      <w:pPr>
        <w:pStyle w:val="Normlnweb"/>
        <w:spacing w:before="0" w:beforeAutospacing="0" w:after="0" w:afterAutospacing="0"/>
        <w:ind w:left="720"/>
        <w:jc w:val="both"/>
      </w:pPr>
      <w:r w:rsidRPr="0072114B">
        <w:t>Od stížnosti je nutno odlišovat podjatost. Volně dle § 14 správního řádu: každý pověřený pracovník, o němž lze důvodně předpokládat, že má s ohledem na svůj poměr k věci,</w:t>
      </w:r>
      <w:r w:rsidR="00D001DC" w:rsidRPr="0072114B">
        <w:t xml:space="preserve"> </w:t>
      </w:r>
      <w:r w:rsidRPr="0072114B">
        <w:t>k účastníkům řízení nebo jejich zástupcům takový zájem na výsledku řízení, pro nějž lze pochybovat o jeho nepodjatosti, je vyloučen ze všech úkonů v řízení, při jejichž provádění by mohl výsledek řízení ovlivnit.</w:t>
      </w:r>
      <w:r w:rsidRPr="0072114B">
        <w:rPr>
          <w:b/>
        </w:rPr>
        <w:t xml:space="preserve"> </w:t>
      </w:r>
      <w:r w:rsidRPr="0072114B">
        <w:t>Účastník řízení</w:t>
      </w:r>
      <w:r w:rsidR="00FD5673" w:rsidRPr="0072114B">
        <w:t xml:space="preserve"> (klient)</w:t>
      </w:r>
      <w:r w:rsidRPr="0072114B">
        <w:t xml:space="preserve"> může namítat podjatost, jakmile se o ní dozví. K námitce se nepřihlédne, pokud účastník řízení o důvodu vyloučení prokazatelně věděl, ale bez zbytečného odkladu námitku neuplatnil. O námitce rozhodne bezodkladně usnesením služebně nadřízený nebo ten, kdo má obdobné postavení.</w:t>
      </w:r>
    </w:p>
    <w:p w:rsidR="008B6E97" w:rsidRPr="0072114B" w:rsidRDefault="008B6E97" w:rsidP="00861625">
      <w:pPr>
        <w:pStyle w:val="Normlnweb"/>
        <w:spacing w:before="0" w:beforeAutospacing="0" w:after="0" w:afterAutospacing="0"/>
        <w:ind w:left="720"/>
        <w:jc w:val="both"/>
      </w:pPr>
    </w:p>
    <w:p w:rsidR="00861625" w:rsidRPr="0072114B" w:rsidRDefault="00861625" w:rsidP="00861625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Podjatostí </w:t>
      </w:r>
      <w:r w:rsidR="00FD5673" w:rsidRPr="0072114B">
        <w:t xml:space="preserve">u pracovníka </w:t>
      </w:r>
      <w:r w:rsidRPr="0072114B">
        <w:t xml:space="preserve">se tudíž míní zejména </w:t>
      </w:r>
      <w:r w:rsidR="00FD5673" w:rsidRPr="0072114B">
        <w:t>osobní poměr ke klientovi, velice úzká známost, konflikty či náklonnosti soukromého charakteru</w:t>
      </w:r>
      <w:r w:rsidR="00AF0C91" w:rsidRPr="0072114B">
        <w:t xml:space="preserve">. Za podjatost se nepovažuje dlouhodobé vedení případu, nevyhovění přání rodičů, které je v rozporu se zájmy dítěte atp. Není také možné namítat podjatost pod záminkou svévolné změny pověřeného pracovníka </w:t>
      </w:r>
      <w:r w:rsidR="00620B59" w:rsidRPr="0072114B">
        <w:t>č</w:t>
      </w:r>
      <w:r w:rsidR="00AF0C91" w:rsidRPr="0072114B">
        <w:t>i dokonce místně příslušného správního orgánu SPOD. Sociální pra</w:t>
      </w:r>
      <w:r w:rsidR="00A734EC" w:rsidRPr="0072114B">
        <w:t>covn</w:t>
      </w:r>
      <w:r w:rsidR="00620B59" w:rsidRPr="0072114B">
        <w:t>ice má</w:t>
      </w:r>
      <w:r w:rsidR="0072114B">
        <w:t xml:space="preserve"> </w:t>
      </w:r>
      <w:r w:rsidR="00620B59" w:rsidRPr="0072114B">
        <w:t>přidělenou agendu</w:t>
      </w:r>
      <w:r w:rsidR="00A734EC" w:rsidRPr="0072114B">
        <w:t>,</w:t>
      </w:r>
      <w:r w:rsidR="00AF0C91" w:rsidRPr="0072114B">
        <w:t xml:space="preserve"> a proto není ani možné, aby si klienti </w:t>
      </w:r>
      <w:r w:rsidR="00620B59" w:rsidRPr="0072114B">
        <w:t>sami vybírali jiného pracovníka</w:t>
      </w:r>
      <w:r w:rsidR="00AF0C91" w:rsidRPr="0072114B">
        <w:t>.</w:t>
      </w:r>
    </w:p>
    <w:p w:rsidR="008B6E97" w:rsidRPr="0072114B" w:rsidRDefault="008B6E97" w:rsidP="00861625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Kdo je oprá</w:t>
      </w:r>
      <w:r w:rsidR="00AD1B60" w:rsidRPr="0072114B">
        <w:rPr>
          <w:rStyle w:val="Siln"/>
        </w:rPr>
        <w:t>vněn v této věci jednat (</w:t>
      </w:r>
      <w:r w:rsidR="00182EF3" w:rsidRPr="0072114B">
        <w:rPr>
          <w:rStyle w:val="Siln"/>
        </w:rPr>
        <w:t xml:space="preserve">podat stížnost, žádost o prošetření </w:t>
      </w:r>
      <w:r w:rsidRPr="0072114B">
        <w:rPr>
          <w:rStyle w:val="Siln"/>
        </w:rPr>
        <w:t>apod.)</w:t>
      </w:r>
      <w:r w:rsidRPr="0072114B">
        <w:t xml:space="preserve"> </w:t>
      </w:r>
    </w:p>
    <w:p w:rsidR="002A0EE3" w:rsidRPr="0072114B" w:rsidRDefault="0072114B" w:rsidP="002A0EE3">
      <w:pPr>
        <w:ind w:left="720"/>
        <w:jc w:val="both"/>
      </w:pPr>
      <w:r>
        <w:t>Stížnosti podávají</w:t>
      </w:r>
      <w:r w:rsidR="002A0EE3" w:rsidRPr="0072114B">
        <w:t xml:space="preserve"> osoby, které mají na předmětu stížnosti osobní zájem, může se jednat jak o fyzickou, tak o právnickou osobu. Stěžovatelem může být v podmínkách OSPOD</w:t>
      </w:r>
      <w:r w:rsidR="00F943B9" w:rsidRPr="0072114B">
        <w:t xml:space="preserve"> </w:t>
      </w:r>
      <w:r w:rsidR="002A0EE3" w:rsidRPr="0072114B">
        <w:t xml:space="preserve"> i nezletilé dítě</w:t>
      </w:r>
      <w:r w:rsidR="00F943B9" w:rsidRPr="0072114B">
        <w:t>.</w:t>
      </w:r>
    </w:p>
    <w:p w:rsidR="00231B21" w:rsidRPr="0072114B" w:rsidRDefault="00231B21" w:rsidP="002A0EE3">
      <w:pPr>
        <w:pStyle w:val="Normlnweb"/>
        <w:spacing w:before="0" w:beforeAutospacing="0" w:after="0" w:afterAutospacing="0"/>
        <w:ind w:left="36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Jaké jsou podmínky a postup pro řešení životní situace</w:t>
      </w:r>
      <w:r w:rsidRPr="0072114B">
        <w:t xml:space="preserve"> </w:t>
      </w:r>
    </w:p>
    <w:p w:rsidR="00CD1A60" w:rsidRPr="0072114B" w:rsidRDefault="00231B21" w:rsidP="00CD1A60">
      <w:pPr>
        <w:ind w:left="720"/>
        <w:jc w:val="both"/>
        <w:rPr>
          <w:rStyle w:val="Siln"/>
          <w:b w:val="0"/>
        </w:rPr>
      </w:pPr>
      <w:r w:rsidRPr="0072114B">
        <w:t xml:space="preserve">Stížnost nemá předepsanou formu a náležitosti, musí však být patrné, kdo ji podává, které věci se týká, případně co </w:t>
      </w:r>
      <w:r w:rsidR="002A0EE3" w:rsidRPr="0072114B">
        <w:t xml:space="preserve">se </w:t>
      </w:r>
      <w:r w:rsidRPr="0072114B">
        <w:t>navrhuje.</w:t>
      </w:r>
      <w:r w:rsidR="00A734EC" w:rsidRPr="0072114B">
        <w:t xml:space="preserve"> </w:t>
      </w:r>
      <w:r w:rsidR="005A357E" w:rsidRPr="0072114B">
        <w:t>Mohou</w:t>
      </w:r>
      <w:r w:rsidR="00A734EC" w:rsidRPr="0072114B">
        <w:t xml:space="preserve"> b</w:t>
      </w:r>
      <w:r w:rsidR="00A10F6F" w:rsidRPr="0072114B">
        <w:t xml:space="preserve">ýt přípustné dvě formy – </w:t>
      </w:r>
      <w:proofErr w:type="gramStart"/>
      <w:r w:rsidR="00A10F6F" w:rsidRPr="0072114B">
        <w:t>písemn</w:t>
      </w:r>
      <w:r w:rsidR="00620B59" w:rsidRPr="0072114B">
        <w:t>á</w:t>
      </w:r>
      <w:r w:rsidR="00F943B9" w:rsidRPr="0072114B">
        <w:t xml:space="preserve"> </w:t>
      </w:r>
      <w:r w:rsidR="00A734EC" w:rsidRPr="0072114B">
        <w:t xml:space="preserve"> a ústní</w:t>
      </w:r>
      <w:proofErr w:type="gramEnd"/>
      <w:r w:rsidR="00A734EC" w:rsidRPr="0072114B">
        <w:t>.</w:t>
      </w:r>
      <w:r w:rsidR="00CD1A60" w:rsidRPr="0072114B">
        <w:rPr>
          <w:rStyle w:val="Siln"/>
          <w:b w:val="0"/>
        </w:rPr>
        <w:t xml:space="preserve"> Ústně podaná stížnost se vyřizuje ústně. Na přání stěžovatele se ústně podaná stížnost zapíše do záznamu a dále se řeší jako písemná stížnost,</w:t>
      </w:r>
      <w:r w:rsidR="00620B59" w:rsidRPr="0072114B">
        <w:rPr>
          <w:rStyle w:val="Siln"/>
          <w:b w:val="0"/>
        </w:rPr>
        <w:t xml:space="preserve"> tj.</w:t>
      </w:r>
      <w:r w:rsidR="00CD1A60" w:rsidRPr="0072114B">
        <w:rPr>
          <w:rStyle w:val="Siln"/>
          <w:b w:val="0"/>
        </w:rPr>
        <w:t xml:space="preserve"> vč</w:t>
      </w:r>
      <w:r w:rsidR="00620B59" w:rsidRPr="0072114B">
        <w:rPr>
          <w:rStyle w:val="Siln"/>
          <w:b w:val="0"/>
        </w:rPr>
        <w:t xml:space="preserve">etně </w:t>
      </w:r>
      <w:r w:rsidR="00CD1A60" w:rsidRPr="0072114B">
        <w:rPr>
          <w:rStyle w:val="Siln"/>
          <w:b w:val="0"/>
        </w:rPr>
        <w:t>čísla jednacího a dalších standardních postupů pro její vyřízení.</w:t>
      </w:r>
    </w:p>
    <w:p w:rsidR="00500977" w:rsidRPr="0072114B" w:rsidRDefault="00500977" w:rsidP="00CD1A60">
      <w:pPr>
        <w:ind w:left="720"/>
        <w:jc w:val="both"/>
        <w:rPr>
          <w:rStyle w:val="Siln"/>
          <w:b w:val="0"/>
          <w:bCs w:val="0"/>
        </w:rPr>
      </w:pPr>
      <w:r w:rsidRPr="0072114B">
        <w:rPr>
          <w:rStyle w:val="Siln"/>
          <w:b w:val="0"/>
        </w:rPr>
        <w:t>Stěžovatel musí být upozorněn, že za hrubě urážlivé podání mu může být dle správního řádu uložena pořádk</w:t>
      </w:r>
      <w:r w:rsidR="00F943B9" w:rsidRPr="0072114B">
        <w:rPr>
          <w:rStyle w:val="Siln"/>
          <w:b w:val="0"/>
        </w:rPr>
        <w:t>ová pokuta až do výše 50.000 Kč.</w:t>
      </w:r>
    </w:p>
    <w:p w:rsidR="002A0EE3" w:rsidRPr="0072114B" w:rsidRDefault="002A0EE3" w:rsidP="000672F6">
      <w:pPr>
        <w:pStyle w:val="Normlnweb"/>
        <w:spacing w:before="0" w:beforeAutospacing="0" w:after="0" w:afterAutospacing="0"/>
        <w:ind w:left="720"/>
        <w:jc w:val="both"/>
      </w:pPr>
    </w:p>
    <w:p w:rsidR="00622DE1" w:rsidRPr="0072114B" w:rsidRDefault="00231B21" w:rsidP="000672F6">
      <w:pPr>
        <w:numPr>
          <w:ilvl w:val="0"/>
          <w:numId w:val="1"/>
        </w:numPr>
        <w:jc w:val="both"/>
        <w:rPr>
          <w:rStyle w:val="Siln"/>
          <w:b w:val="0"/>
          <w:bCs w:val="0"/>
        </w:rPr>
      </w:pPr>
      <w:r w:rsidRPr="0072114B">
        <w:rPr>
          <w:rStyle w:val="Siln"/>
        </w:rPr>
        <w:t>Jakým způsobem zahájit řešení životní situace</w:t>
      </w:r>
    </w:p>
    <w:p w:rsidR="00231B21" w:rsidRPr="0072114B" w:rsidRDefault="00231B21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Stížnost se podává </w:t>
      </w:r>
      <w:r w:rsidR="00C035E6" w:rsidRPr="0072114B">
        <w:t xml:space="preserve">na podatelně úřadu, a to </w:t>
      </w:r>
      <w:r w:rsidR="002A0EE3" w:rsidRPr="0072114B">
        <w:t>v písemné formě</w:t>
      </w:r>
      <w:r w:rsidRPr="0072114B">
        <w:t>, ústně do záznamu, je možné j</w:t>
      </w:r>
      <w:r w:rsidR="002A0EE3" w:rsidRPr="0072114B">
        <w:t>i</w:t>
      </w:r>
      <w:r w:rsidRPr="0072114B">
        <w:t xml:space="preserve"> zaslat poštou, doručit osobně, po</w:t>
      </w:r>
      <w:r w:rsidR="002A0EE3" w:rsidRPr="0072114B">
        <w:t>p</w:t>
      </w:r>
      <w:r w:rsidRPr="0072114B">
        <w:t>ř. jiným způsobem (telefon</w:t>
      </w:r>
      <w:r w:rsidR="002A0EE3" w:rsidRPr="0072114B">
        <w:t>em</w:t>
      </w:r>
      <w:r w:rsidRPr="0072114B">
        <w:t>, fax</w:t>
      </w:r>
      <w:r w:rsidR="002A0EE3" w:rsidRPr="0072114B">
        <w:t>em</w:t>
      </w:r>
      <w:r w:rsidRPr="0072114B">
        <w:t>, email</w:t>
      </w:r>
      <w:r w:rsidR="002A0EE3" w:rsidRPr="0072114B">
        <w:t>em</w:t>
      </w:r>
      <w:r w:rsidR="001A6699" w:rsidRPr="0072114B">
        <w:t>, datovou schránkou</w:t>
      </w:r>
      <w:r w:rsidRPr="0072114B">
        <w:t>).</w:t>
      </w:r>
    </w:p>
    <w:p w:rsidR="001A6699" w:rsidRPr="0072114B" w:rsidRDefault="002A0EE3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Adresa podatelny: ÚMČ </w:t>
      </w:r>
      <w:r w:rsidR="000153EB" w:rsidRPr="0072114B">
        <w:t>Brno-Tuřany</w:t>
      </w:r>
      <w:r w:rsidRPr="0072114B">
        <w:t xml:space="preserve">, </w:t>
      </w:r>
      <w:r w:rsidR="000153EB" w:rsidRPr="0072114B">
        <w:t xml:space="preserve">Tuřanské náměstí 1, 620 00 Brno, 1. </w:t>
      </w:r>
      <w:r w:rsidR="004B1F16" w:rsidRPr="0072114B">
        <w:t>p</w:t>
      </w:r>
      <w:r w:rsidR="000153EB" w:rsidRPr="0072114B">
        <w:t>oschodí, podatelna, email:</w:t>
      </w:r>
      <w:r w:rsidR="0072114B">
        <w:t xml:space="preserve"> </w:t>
      </w:r>
      <w:r w:rsidR="000153EB" w:rsidRPr="0072114B">
        <w:t>podatelna.turany@brno.cz, tel. 545 128 211, fax:</w:t>
      </w:r>
      <w:r w:rsidR="004B1F16" w:rsidRPr="0072114B">
        <w:t xml:space="preserve"> </w:t>
      </w:r>
      <w:r w:rsidR="000153EB" w:rsidRPr="0072114B">
        <w:t>545</w:t>
      </w:r>
      <w:r w:rsidR="00A10F6F" w:rsidRPr="0072114B">
        <w:t xml:space="preserve"> </w:t>
      </w:r>
      <w:r w:rsidR="000153EB" w:rsidRPr="0072114B">
        <w:t>128 212, datová schránka:</w:t>
      </w:r>
      <w:r w:rsidR="0072114B">
        <w:t xml:space="preserve"> </w:t>
      </w:r>
      <w:r w:rsidR="000153EB" w:rsidRPr="0072114B">
        <w:t>f9ubyek, pověřená pracovnice vede evidenci všech stížností</w:t>
      </w:r>
    </w:p>
    <w:p w:rsidR="00A734EC" w:rsidRPr="0072114B" w:rsidRDefault="00A734EC" w:rsidP="001A6699">
      <w:pPr>
        <w:pStyle w:val="Normlnweb"/>
        <w:spacing w:before="0" w:beforeAutospacing="0" w:after="0" w:afterAutospacing="0"/>
        <w:ind w:left="72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Na které instituci životní situaci řešit</w:t>
      </w:r>
      <w:r w:rsidR="00622DE1" w:rsidRPr="0072114B">
        <w:rPr>
          <w:rStyle w:val="Siln"/>
        </w:rPr>
        <w:t>, oprávněné úřední osoby</w:t>
      </w:r>
      <w:r w:rsidRPr="0072114B">
        <w:t xml:space="preserve"> </w:t>
      </w:r>
    </w:p>
    <w:p w:rsidR="00C035E6" w:rsidRPr="0072114B" w:rsidRDefault="00C035E6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Úřad městské části Brno-</w:t>
      </w:r>
      <w:r w:rsidR="004B1F16" w:rsidRPr="0072114B">
        <w:t>Tuřany</w:t>
      </w:r>
      <w:r w:rsidRPr="0072114B">
        <w:t>.</w:t>
      </w:r>
    </w:p>
    <w:p w:rsidR="00622DE1" w:rsidRPr="0072114B" w:rsidRDefault="00622DE1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Tajemn</w:t>
      </w:r>
      <w:r w:rsidR="004B1F16" w:rsidRPr="0072114B">
        <w:t xml:space="preserve">ík úřadu: </w:t>
      </w:r>
      <w:r w:rsidRPr="0072114B">
        <w:t>stížnosti na vedoucí od</w:t>
      </w:r>
      <w:r w:rsidR="009E75C2">
        <w:t xml:space="preserve">dělení </w:t>
      </w:r>
      <w:r w:rsidRPr="0072114B">
        <w:t xml:space="preserve"> </w:t>
      </w:r>
    </w:p>
    <w:p w:rsidR="00AF0C91" w:rsidRPr="0072114B" w:rsidRDefault="009E75C2" w:rsidP="000672F6">
      <w:pPr>
        <w:pStyle w:val="Normlnweb"/>
        <w:spacing w:before="0" w:beforeAutospacing="0" w:after="0" w:afterAutospacing="0"/>
        <w:ind w:left="720"/>
        <w:jc w:val="both"/>
      </w:pPr>
      <w:r>
        <w:t>Vedoucí oddělení sociální péče</w:t>
      </w:r>
      <w:r w:rsidR="004B1F16" w:rsidRPr="0072114B">
        <w:t>:</w:t>
      </w:r>
      <w:r w:rsidR="00AF0C91" w:rsidRPr="0072114B">
        <w:t xml:space="preserve"> stížnosti na pracovníky </w:t>
      </w:r>
      <w:r w:rsidR="004B1F16" w:rsidRPr="0072114B">
        <w:t>OSPOD</w:t>
      </w:r>
    </w:p>
    <w:p w:rsidR="008B6E97" w:rsidRPr="0072114B" w:rsidRDefault="008B6E97" w:rsidP="000672F6">
      <w:pPr>
        <w:pStyle w:val="Normlnweb"/>
        <w:spacing w:before="0" w:beforeAutospacing="0" w:after="0" w:afterAutospacing="0"/>
        <w:ind w:left="720"/>
        <w:jc w:val="both"/>
      </w:pPr>
    </w:p>
    <w:p w:rsidR="00AF0C91" w:rsidRPr="0072114B" w:rsidRDefault="008B6E97" w:rsidP="00D001DC">
      <w:pPr>
        <w:pStyle w:val="Normlnweb"/>
        <w:spacing w:before="0" w:beforeAutospacing="0" w:after="0" w:afterAutospacing="0"/>
        <w:ind w:left="720"/>
        <w:jc w:val="both"/>
      </w:pPr>
      <w:r w:rsidRPr="0072114B">
        <w:t>Stížnost nelze předat k vyřízení osobě, proti níž stížnost směřuje. Osoba, na kterou je stížnost podána má právo se seznámit se všemi podklady, které jsou v rámci jejího řešení ze zákona dostupné, a může navrhovat důkazy na svoji obhajobu.</w:t>
      </w:r>
      <w:r w:rsidR="00182EF3" w:rsidRPr="0072114B">
        <w:t xml:space="preserve"> </w:t>
      </w:r>
      <w:r w:rsidR="00D001DC" w:rsidRPr="0072114B">
        <w:t xml:space="preserve"> </w:t>
      </w:r>
      <w:r w:rsidR="00AF0C91" w:rsidRPr="0072114B">
        <w:t>Osoba odpovědná za vyřízení stížnosti je povinna získat a prošetřit</w:t>
      </w:r>
      <w:r w:rsidR="00A26AFC" w:rsidRPr="0072114B">
        <w:t xml:space="preserve"> všechny dostupné podklady pro zjištění důvodnosti stížnosti.</w:t>
      </w:r>
      <w:r w:rsidR="00182EF3" w:rsidRPr="0072114B">
        <w:t xml:space="preserve"> Výsledkem prošetření stížnosti je zjištění, zda je</w:t>
      </w:r>
    </w:p>
    <w:p w:rsidR="00182EF3" w:rsidRPr="0072114B" w:rsidRDefault="00182EF3" w:rsidP="00182EF3">
      <w:pPr>
        <w:pStyle w:val="Normlnweb"/>
        <w:spacing w:before="0" w:beforeAutospacing="0" w:after="0" w:afterAutospacing="0"/>
        <w:ind w:left="720"/>
        <w:jc w:val="both"/>
      </w:pPr>
    </w:p>
    <w:p w:rsidR="00182EF3" w:rsidRPr="0072114B" w:rsidRDefault="00182EF3" w:rsidP="00182EF3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72114B">
        <w:t>důvodná</w:t>
      </w:r>
    </w:p>
    <w:p w:rsidR="00182EF3" w:rsidRPr="0072114B" w:rsidRDefault="00182EF3" w:rsidP="00182EF3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72114B">
        <w:t>částečně důvodná</w:t>
      </w:r>
    </w:p>
    <w:p w:rsidR="00182EF3" w:rsidRPr="0072114B" w:rsidRDefault="00182EF3" w:rsidP="00182EF3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72114B">
        <w:lastRenderedPageBreak/>
        <w:t>nedůvodná</w:t>
      </w:r>
      <w:r w:rsidR="0055204A" w:rsidRPr="0072114B">
        <w:t>.</w:t>
      </w:r>
    </w:p>
    <w:p w:rsidR="00182EF3" w:rsidRPr="0072114B" w:rsidRDefault="00182EF3" w:rsidP="00182EF3">
      <w:pPr>
        <w:pStyle w:val="Normlnweb"/>
        <w:spacing w:before="0" w:beforeAutospacing="0" w:after="0" w:afterAutospacing="0"/>
        <w:jc w:val="both"/>
      </w:pPr>
    </w:p>
    <w:p w:rsidR="00182EF3" w:rsidRPr="0072114B" w:rsidRDefault="005236A4" w:rsidP="00182EF3">
      <w:pPr>
        <w:pStyle w:val="Normlnweb"/>
        <w:spacing w:before="0" w:beforeAutospacing="0" w:after="0" w:afterAutospacing="0"/>
        <w:ind w:left="708"/>
        <w:jc w:val="both"/>
      </w:pPr>
      <w:r w:rsidRPr="0072114B">
        <w:t xml:space="preserve">Vyřizované stížnosti jsou zpětnou vazbou pro činnost OSPOD a inspirací pro vyvarování se nedostatkům či pochybením do budoucna. Výsledkem musí být proto vždy stav souladu se zákonem a důsledkem např. úprava pracovních postupů či personální opatření. </w:t>
      </w:r>
      <w:r w:rsidR="00857625" w:rsidRPr="0072114B">
        <w:t>Rozhodnutí o důsledcích</w:t>
      </w:r>
      <w:r w:rsidRPr="0072114B">
        <w:t xml:space="preserve"> jsou však vždy v kompetenci nadřízeného pracovníka, resp. orgánu a způsob jejich řešení není ze strany stěžovatele právně vynutitelný</w:t>
      </w:r>
      <w:r w:rsidR="00857625" w:rsidRPr="0072114B">
        <w:t>.</w:t>
      </w:r>
    </w:p>
    <w:p w:rsidR="00A26AFC" w:rsidRPr="0072114B" w:rsidRDefault="00A26AFC" w:rsidP="000672F6">
      <w:pPr>
        <w:pStyle w:val="Normlnweb"/>
        <w:spacing w:before="0" w:beforeAutospacing="0" w:after="0" w:afterAutospacing="0"/>
        <w:ind w:left="720"/>
        <w:jc w:val="both"/>
      </w:pPr>
    </w:p>
    <w:p w:rsidR="00A26AFC" w:rsidRPr="0072114B" w:rsidRDefault="00A26AFC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Sociálně-právní ochrana je výkonem přenesené působnosti, resp. státní správy, a tudíž volení zastupitelé a představitelé městské části (starosta, místostarosta) nemají oprávnění do případů aktivně vstupovat a podílet se na jejich řešení</w:t>
      </w:r>
      <w:r w:rsidR="00C917E3" w:rsidRPr="0072114B">
        <w:t>. Toto však nevylučuje jejich úkony v oblasti pracovně-právních vztahů se zaměstnanci.</w:t>
      </w:r>
    </w:p>
    <w:p w:rsidR="00374214" w:rsidRPr="0072114B" w:rsidRDefault="00374214" w:rsidP="000672F6">
      <w:pPr>
        <w:pStyle w:val="Normlnweb"/>
        <w:spacing w:before="0" w:beforeAutospacing="0" w:after="0" w:afterAutospacing="0"/>
        <w:ind w:left="720"/>
        <w:jc w:val="both"/>
      </w:pPr>
    </w:p>
    <w:p w:rsidR="00374214" w:rsidRPr="0072114B" w:rsidRDefault="00374214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 xml:space="preserve">O změně konkrétního pracovníka OSPOD je oprávněn rozhodnout vedoucí odboru </w:t>
      </w:r>
      <w:proofErr w:type="gramStart"/>
      <w:r w:rsidRPr="0072114B">
        <w:t>ÚMČ,</w:t>
      </w:r>
      <w:r w:rsidR="00F943B9" w:rsidRPr="0072114B">
        <w:t xml:space="preserve"> </w:t>
      </w:r>
      <w:r w:rsidR="0072114B">
        <w:t xml:space="preserve"> o </w:t>
      </w:r>
      <w:r w:rsidRPr="0072114B">
        <w:t>změně</w:t>
      </w:r>
      <w:proofErr w:type="gramEnd"/>
      <w:r w:rsidRPr="0072114B">
        <w:t xml:space="preserve"> místně příslušného orgánu SPOD pak Magistrát města Brna</w:t>
      </w:r>
      <w:r w:rsidR="00CD1A60" w:rsidRPr="0072114B">
        <w:t>. O</w:t>
      </w:r>
      <w:r w:rsidRPr="0072114B">
        <w:t>běma řešením však musejí</w:t>
      </w:r>
      <w:r w:rsidR="00CD1A60" w:rsidRPr="0072114B">
        <w:t xml:space="preserve"> předcházet velice závažné důvody a zákonné předpoklady, pro které není žádoucí, aby byla věc nadále v řešení konkrétního pracoviště, resp. pracovníka.</w:t>
      </w:r>
    </w:p>
    <w:p w:rsidR="00622DE1" w:rsidRPr="0072114B" w:rsidRDefault="00622DE1" w:rsidP="000672F6">
      <w:pPr>
        <w:pStyle w:val="Normlnweb"/>
        <w:spacing w:before="0" w:beforeAutospacing="0" w:after="0" w:afterAutospacing="0"/>
        <w:ind w:left="72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Jaké doklady je nutné mít sebou</w:t>
      </w:r>
      <w:r w:rsidRPr="0072114B">
        <w:t xml:space="preserve"> </w:t>
      </w:r>
    </w:p>
    <w:p w:rsidR="00231B21" w:rsidRPr="0072114B" w:rsidRDefault="00231B21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Nejsou požadovány, dle vlastního uvážení je stěžovatel předloží současně se stížností.</w:t>
      </w:r>
    </w:p>
    <w:p w:rsidR="00A40FFC" w:rsidRPr="0072114B" w:rsidRDefault="00A40FFC" w:rsidP="000672F6">
      <w:pPr>
        <w:pStyle w:val="Normlnweb"/>
        <w:spacing w:before="0" w:beforeAutospacing="0" w:after="0" w:afterAutospacing="0"/>
        <w:ind w:left="72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Jaké jsou potřebné formuláře a kde jsou k dispozici</w:t>
      </w:r>
      <w:r w:rsidRPr="0072114B">
        <w:t xml:space="preserve"> </w:t>
      </w:r>
    </w:p>
    <w:p w:rsidR="00231B21" w:rsidRPr="0072114B" w:rsidRDefault="00231B21" w:rsidP="00D001DC">
      <w:pPr>
        <w:pStyle w:val="Normlnweb"/>
        <w:spacing w:before="0" w:beforeAutospacing="0" w:after="0" w:afterAutospacing="0"/>
        <w:ind w:left="720"/>
        <w:jc w:val="both"/>
      </w:pPr>
      <w:r w:rsidRPr="0072114B">
        <w:t>Formulář není stanoven.</w:t>
      </w:r>
      <w:r w:rsidR="005037CC" w:rsidRPr="0072114B">
        <w:t xml:space="preserve"> </w:t>
      </w:r>
      <w:r w:rsidR="00182EF3" w:rsidRPr="0072114B">
        <w:t>Z praktického hlediska se však d</w:t>
      </w:r>
      <w:r w:rsidR="005037CC" w:rsidRPr="0072114B">
        <w:t xml:space="preserve">oporučuje písemná forma </w:t>
      </w:r>
      <w:r w:rsidR="00182EF3" w:rsidRPr="0072114B">
        <w:t xml:space="preserve">stížnosti </w:t>
      </w:r>
      <w:r w:rsidR="005037CC" w:rsidRPr="0072114B">
        <w:t>s náležitostmi podání dle</w:t>
      </w:r>
      <w:r w:rsidR="00D001DC" w:rsidRPr="0072114B">
        <w:t xml:space="preserve"> </w:t>
      </w:r>
      <w:r w:rsidR="005A357E" w:rsidRPr="0072114B">
        <w:t>§ 175</w:t>
      </w:r>
      <w:r w:rsidR="00620B59" w:rsidRPr="0072114B">
        <w:t xml:space="preserve"> </w:t>
      </w:r>
      <w:r w:rsidR="005037CC" w:rsidRPr="0072114B">
        <w:t>zákona č. 500/2004 Sb., správního řádu</w:t>
      </w:r>
      <w:r w:rsidR="00182EF3" w:rsidRPr="0072114B">
        <w:t>.</w:t>
      </w:r>
    </w:p>
    <w:p w:rsidR="00A40FFC" w:rsidRPr="0072114B" w:rsidRDefault="00A40FFC" w:rsidP="000672F6">
      <w:pPr>
        <w:pStyle w:val="Normlnweb"/>
        <w:spacing w:before="0" w:beforeAutospacing="0" w:after="0" w:afterAutospacing="0"/>
        <w:ind w:left="72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Jaké jsou poplatky a jak je lze uhradit</w:t>
      </w:r>
      <w:r w:rsidRPr="0072114B">
        <w:t xml:space="preserve"> </w:t>
      </w:r>
    </w:p>
    <w:p w:rsidR="00231B21" w:rsidRPr="0072114B" w:rsidRDefault="00A40FFC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Stížnosti se vyřizují bezplatně.</w:t>
      </w:r>
    </w:p>
    <w:p w:rsidR="00A40FFC" w:rsidRPr="0072114B" w:rsidRDefault="00A40FFC" w:rsidP="000672F6">
      <w:pPr>
        <w:pStyle w:val="Normlnweb"/>
        <w:spacing w:before="0" w:beforeAutospacing="0" w:after="0" w:afterAutospacing="0"/>
        <w:ind w:left="72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Jaké jsou lhůty pro vyřízení</w:t>
      </w:r>
      <w:r w:rsidRPr="0072114B">
        <w:t xml:space="preserve"> </w:t>
      </w:r>
    </w:p>
    <w:p w:rsidR="00231B21" w:rsidRPr="0072114B" w:rsidRDefault="00694723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Stížnosti musejí</w:t>
      </w:r>
      <w:r w:rsidR="00231B21" w:rsidRPr="0072114B">
        <w:t xml:space="preserve"> být prošetřeny a vyřízeny nejdéle do 60 dnů ode dne, kdy byly doručeny ÚMČ Brno - </w:t>
      </w:r>
      <w:r w:rsidR="00A10F6F" w:rsidRPr="0072114B">
        <w:t>Tuřany</w:t>
      </w:r>
      <w:r w:rsidR="00231B21" w:rsidRPr="0072114B">
        <w:t xml:space="preserve">, nejsou-li případě zvláštní zákonné úpravy stanoveny ze zákona. </w:t>
      </w:r>
      <w:r w:rsidRPr="0072114B">
        <w:t xml:space="preserve">Pokud o to stěžovatel požádá, </w:t>
      </w:r>
      <w:r w:rsidR="00231B21" w:rsidRPr="0072114B">
        <w:t>je v uvedených lhůtách písemně informován o způsobu vyřízení</w:t>
      </w:r>
      <w:r w:rsidRPr="0072114B">
        <w:t xml:space="preserve"> stížnosti.</w:t>
      </w:r>
    </w:p>
    <w:p w:rsidR="00A40FFC" w:rsidRPr="0072114B" w:rsidRDefault="00A40FFC" w:rsidP="000672F6">
      <w:pPr>
        <w:pStyle w:val="Normlnweb"/>
        <w:spacing w:before="0" w:beforeAutospacing="0" w:after="0" w:afterAutospacing="0"/>
        <w:ind w:left="720"/>
        <w:jc w:val="both"/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>Kteří jsou další účastníci (dotčení) řešení životní situace</w:t>
      </w:r>
      <w:r w:rsidRPr="0072114B">
        <w:t xml:space="preserve"> </w:t>
      </w:r>
    </w:p>
    <w:p w:rsidR="00694723" w:rsidRPr="0072114B" w:rsidRDefault="00694723" w:rsidP="00694723">
      <w:pPr>
        <w:pStyle w:val="Normlnweb"/>
        <w:spacing w:before="0" w:beforeAutospacing="0" w:after="0" w:afterAutospacing="0"/>
        <w:ind w:left="720"/>
        <w:jc w:val="both"/>
      </w:pPr>
      <w:r w:rsidRPr="0072114B">
        <w:t>Pokud klient shledá ve vyřizování stížnosti procesní pochybení nebo překročení zákona, resp. není spokojen s jejím vyřízením a současně nebylo-li možné záležitost uzavřít v rámci ÚMČ Brno-</w:t>
      </w:r>
      <w:r w:rsidR="004B1F16" w:rsidRPr="0072114B">
        <w:t>Tuřany</w:t>
      </w:r>
      <w:r w:rsidRPr="0072114B">
        <w:t>, lze se obrátit na další orgány, které přijímají podněty k práci OSPOD. Jsou jimi:</w:t>
      </w:r>
    </w:p>
    <w:p w:rsidR="00694723" w:rsidRPr="0072114B" w:rsidRDefault="00694723" w:rsidP="00694723">
      <w:pPr>
        <w:pStyle w:val="Normlnweb"/>
        <w:spacing w:before="0" w:beforeAutospacing="0" w:after="0" w:afterAutospacing="0"/>
        <w:ind w:left="720"/>
        <w:jc w:val="both"/>
      </w:pPr>
    </w:p>
    <w:p w:rsidR="00694723" w:rsidRPr="0072114B" w:rsidRDefault="00D001DC" w:rsidP="00D001DC">
      <w:pPr>
        <w:pStyle w:val="Normlnweb"/>
        <w:spacing w:before="0" w:beforeAutospacing="0" w:after="0" w:afterAutospacing="0"/>
        <w:ind w:left="1134"/>
      </w:pPr>
      <w:r w:rsidRPr="0072114B">
        <w:t xml:space="preserve">     </w:t>
      </w:r>
      <w:r w:rsidR="00694723" w:rsidRPr="0072114B">
        <w:t>Magistrát města Brna,</w:t>
      </w:r>
      <w:r w:rsidR="00694723" w:rsidRPr="0072114B">
        <w:rPr>
          <w:color w:val="FF0000"/>
        </w:rPr>
        <w:t xml:space="preserve"> </w:t>
      </w:r>
      <w:r w:rsidR="00694723" w:rsidRPr="0072114B">
        <w:t>Odbor sociální péče, Koliště 19, 601 67 Brno</w:t>
      </w:r>
    </w:p>
    <w:p w:rsidR="00694723" w:rsidRPr="0072114B" w:rsidRDefault="00D001DC" w:rsidP="00694723">
      <w:pPr>
        <w:pStyle w:val="Normlnweb"/>
        <w:spacing w:before="0" w:beforeAutospacing="0" w:after="0" w:afterAutospacing="0"/>
        <w:ind w:left="720" w:firstLine="696"/>
      </w:pPr>
      <w:r w:rsidRPr="0072114B">
        <w:t xml:space="preserve"> </w:t>
      </w:r>
      <w:r w:rsidR="00694723" w:rsidRPr="0072114B">
        <w:t>(instančně nadřízený orgán)</w:t>
      </w:r>
    </w:p>
    <w:p w:rsidR="00D001DC" w:rsidRPr="0072114B" w:rsidRDefault="00D001DC" w:rsidP="00D001DC">
      <w:pPr>
        <w:pStyle w:val="Normlnweb"/>
        <w:spacing w:before="0" w:beforeAutospacing="0" w:after="0" w:afterAutospacing="0"/>
        <w:ind w:left="426"/>
      </w:pPr>
      <w:r w:rsidRPr="0072114B">
        <w:t xml:space="preserve">               </w:t>
      </w:r>
      <w:r w:rsidR="00694723" w:rsidRPr="0072114B">
        <w:t>MPSV ČR, Na Poříčním právu 1/376, 128 01 Praha 2</w:t>
      </w:r>
    </w:p>
    <w:p w:rsidR="00694723" w:rsidRPr="0072114B" w:rsidRDefault="00D001DC" w:rsidP="00D001DC">
      <w:pPr>
        <w:pStyle w:val="Normlnweb"/>
        <w:spacing w:before="0" w:beforeAutospacing="0" w:after="0" w:afterAutospacing="0"/>
        <w:ind w:left="426"/>
      </w:pPr>
      <w:r w:rsidRPr="0072114B">
        <w:t xml:space="preserve">               V</w:t>
      </w:r>
      <w:r w:rsidR="00694723" w:rsidRPr="0072114B">
        <w:t xml:space="preserve">eřejný ochránce práv, Údolní 39, 602 00 Brno </w:t>
      </w:r>
    </w:p>
    <w:p w:rsidR="00F943B9" w:rsidRPr="0072114B" w:rsidRDefault="00F943B9" w:rsidP="00F943B9">
      <w:pPr>
        <w:ind w:left="720"/>
        <w:jc w:val="both"/>
        <w:rPr>
          <w:rStyle w:val="Siln"/>
          <w:b w:val="0"/>
          <w:bCs w:val="0"/>
        </w:rPr>
      </w:pPr>
    </w:p>
    <w:p w:rsidR="00231B21" w:rsidRPr="0072114B" w:rsidRDefault="00231B21" w:rsidP="000672F6">
      <w:pPr>
        <w:numPr>
          <w:ilvl w:val="0"/>
          <w:numId w:val="1"/>
        </w:numPr>
        <w:jc w:val="both"/>
      </w:pPr>
      <w:r w:rsidRPr="0072114B">
        <w:rPr>
          <w:rStyle w:val="Siln"/>
        </w:rPr>
        <w:t xml:space="preserve">Jaké další činnosti jsou po </w:t>
      </w:r>
      <w:r w:rsidR="00182EF3" w:rsidRPr="0072114B">
        <w:rPr>
          <w:rStyle w:val="Siln"/>
        </w:rPr>
        <w:t>stěžovateli</w:t>
      </w:r>
      <w:r w:rsidRPr="0072114B">
        <w:rPr>
          <w:rStyle w:val="Siln"/>
        </w:rPr>
        <w:t xml:space="preserve"> požadovány</w:t>
      </w:r>
      <w:r w:rsidRPr="0072114B">
        <w:t xml:space="preserve"> </w:t>
      </w:r>
    </w:p>
    <w:p w:rsidR="00231B21" w:rsidRPr="0072114B" w:rsidRDefault="00694723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racionální přístup, slušné vystupování</w:t>
      </w:r>
    </w:p>
    <w:p w:rsidR="00182EF3" w:rsidRPr="0072114B" w:rsidRDefault="00182EF3" w:rsidP="000672F6">
      <w:pPr>
        <w:pStyle w:val="Normlnweb"/>
        <w:spacing w:before="0" w:beforeAutospacing="0" w:after="0" w:afterAutospacing="0"/>
        <w:ind w:left="720"/>
        <w:jc w:val="both"/>
      </w:pPr>
      <w:r w:rsidRPr="0072114B">
        <w:t>Pozn.: protikladem stížnosti je poděkování, které může být písemné či ústní; v odůvodněných případech je milé využít i tuto možnost.</w:t>
      </w:r>
    </w:p>
    <w:p w:rsidR="00A40FFC" w:rsidRPr="0072114B" w:rsidRDefault="00A40FFC" w:rsidP="000672F6">
      <w:pPr>
        <w:pStyle w:val="Normlnweb"/>
        <w:spacing w:before="0" w:beforeAutospacing="0" w:after="0" w:afterAutospacing="0"/>
        <w:ind w:left="720"/>
        <w:jc w:val="both"/>
      </w:pPr>
    </w:p>
    <w:p w:rsidR="00183BEC" w:rsidRPr="0072114B" w:rsidRDefault="00231B21" w:rsidP="000672F6">
      <w:pPr>
        <w:numPr>
          <w:ilvl w:val="0"/>
          <w:numId w:val="1"/>
        </w:numPr>
        <w:jc w:val="both"/>
        <w:rPr>
          <w:rStyle w:val="Siln"/>
          <w:b w:val="0"/>
          <w:bCs w:val="0"/>
        </w:rPr>
      </w:pPr>
      <w:r w:rsidRPr="0072114B">
        <w:rPr>
          <w:rStyle w:val="Siln"/>
        </w:rPr>
        <w:t>Můžete využít tuto elektronickou službu</w:t>
      </w:r>
    </w:p>
    <w:p w:rsidR="00231B21" w:rsidRPr="0072114B" w:rsidRDefault="00183BEC" w:rsidP="00183BEC">
      <w:pPr>
        <w:ind w:left="720"/>
        <w:jc w:val="both"/>
      </w:pPr>
      <w:r w:rsidRPr="0072114B">
        <w:t xml:space="preserve">datová schránka: ID </w:t>
      </w:r>
      <w:r w:rsidR="004B1F16" w:rsidRPr="0072114B">
        <w:t>f9ubyek</w:t>
      </w:r>
      <w:r w:rsidR="00D001DC" w:rsidRPr="0072114B">
        <w:t>, email:podatelna.turany@brno.cz</w:t>
      </w:r>
    </w:p>
    <w:sectPr w:rsidR="00231B21" w:rsidRPr="0072114B" w:rsidSect="00F943B9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51940"/>
    <w:multiLevelType w:val="multilevel"/>
    <w:tmpl w:val="BB0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004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46530"/>
    <w:multiLevelType w:val="hybridMultilevel"/>
    <w:tmpl w:val="2FBCB5DA"/>
    <w:lvl w:ilvl="0" w:tplc="086EC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21"/>
    <w:rsid w:val="000153EB"/>
    <w:rsid w:val="00037E7E"/>
    <w:rsid w:val="000672F6"/>
    <w:rsid w:val="0007030E"/>
    <w:rsid w:val="00092F3A"/>
    <w:rsid w:val="00124B31"/>
    <w:rsid w:val="00182EF3"/>
    <w:rsid w:val="00183BEC"/>
    <w:rsid w:val="00184462"/>
    <w:rsid w:val="001A3D76"/>
    <w:rsid w:val="001A6699"/>
    <w:rsid w:val="00231B21"/>
    <w:rsid w:val="002A0EE3"/>
    <w:rsid w:val="002B2B40"/>
    <w:rsid w:val="00374214"/>
    <w:rsid w:val="003A05DE"/>
    <w:rsid w:val="004B1F16"/>
    <w:rsid w:val="00500977"/>
    <w:rsid w:val="005037CC"/>
    <w:rsid w:val="005236A4"/>
    <w:rsid w:val="0055204A"/>
    <w:rsid w:val="005A357E"/>
    <w:rsid w:val="00620B59"/>
    <w:rsid w:val="00622DE1"/>
    <w:rsid w:val="00694723"/>
    <w:rsid w:val="006D5177"/>
    <w:rsid w:val="0072114B"/>
    <w:rsid w:val="00780769"/>
    <w:rsid w:val="00857625"/>
    <w:rsid w:val="00861625"/>
    <w:rsid w:val="008B6E97"/>
    <w:rsid w:val="00946687"/>
    <w:rsid w:val="00963CFA"/>
    <w:rsid w:val="009C2242"/>
    <w:rsid w:val="009E75C2"/>
    <w:rsid w:val="00A10F6F"/>
    <w:rsid w:val="00A26AFC"/>
    <w:rsid w:val="00A40FFC"/>
    <w:rsid w:val="00A734EC"/>
    <w:rsid w:val="00AD1B60"/>
    <w:rsid w:val="00AD39A0"/>
    <w:rsid w:val="00AF0C91"/>
    <w:rsid w:val="00C035E6"/>
    <w:rsid w:val="00C917E3"/>
    <w:rsid w:val="00CD1A60"/>
    <w:rsid w:val="00D001DC"/>
    <w:rsid w:val="00D2180B"/>
    <w:rsid w:val="00D21F16"/>
    <w:rsid w:val="00D35859"/>
    <w:rsid w:val="00D759E7"/>
    <w:rsid w:val="00DB463B"/>
    <w:rsid w:val="00F077B0"/>
    <w:rsid w:val="00F943B9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CFD6-7595-418E-AC63-12C02E8F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sid w:val="00231B21"/>
    <w:rPr>
      <w:b/>
      <w:bCs/>
    </w:rPr>
  </w:style>
  <w:style w:type="paragraph" w:styleId="Normlnweb">
    <w:name w:val="Normal (Web)"/>
    <w:basedOn w:val="Normln"/>
    <w:rsid w:val="00231B21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AD39A0"/>
    <w:rPr>
      <w:rFonts w:ascii="Tahoma" w:hAnsi="Tahoma" w:cs="Tahoma"/>
      <w:sz w:val="16"/>
      <w:szCs w:val="16"/>
    </w:rPr>
  </w:style>
  <w:style w:type="character" w:styleId="Hypertextovodkaz">
    <w:name w:val="Hyperlink"/>
    <w:rsid w:val="001A66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ÚMČ Brno Tuřany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bukovska</dc:creator>
  <cp:keywords/>
  <cp:lastModifiedBy>.</cp:lastModifiedBy>
  <cp:revision>2</cp:revision>
  <cp:lastPrinted>2014-11-04T09:36:00Z</cp:lastPrinted>
  <dcterms:created xsi:type="dcterms:W3CDTF">2021-09-15T12:14:00Z</dcterms:created>
  <dcterms:modified xsi:type="dcterms:W3CDTF">2021-09-15T12:14:00Z</dcterms:modified>
</cp:coreProperties>
</file>